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Юридичний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карантину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віднесено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внесено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ст.14-1 Закону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«Про торгово-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промислові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палати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доповнено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словами «карантину,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Кабінетом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Конвенції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ООН,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сторона, яка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повинна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сторону про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перешкоду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отримане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стороною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розумного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того, як про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перешкоду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повинно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яке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сторона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є результатом того,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отримане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. Тому,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договору сторонам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форс-мажором,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процедуру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Регламентом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Торгово-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промисловою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палатою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регіональними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торгово-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промисловими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палатами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непереборної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Регламенту,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засвідчуються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зверненням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по кожному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окремому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окремим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податковим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зобов’язанням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обов’язком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/-го настало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контракту, угоди,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законодавчих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/-го стало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неможливим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обставинами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фінансова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криза, дефолт,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офіційного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недодержання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контрагентом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боржника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потрібних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боржника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ст.14-1 Закону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«Про торгово-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промислові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палати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за договором, контрактом,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угодою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типовим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законодавчими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відомчими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вплинули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унеможливили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Тому,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договору.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як правило,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включають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про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переліком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визнають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наслідками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заявником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свідчити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про: 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надзвичайність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непередбачуваність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невідворотність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>- причинно-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наслідковий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подією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неможливістю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заявником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формою Регламенту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відбитком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печатки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proofErr w:type="gram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довіреною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особою.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proofErr w:type="gram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дорученням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довіреною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особою. До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комплект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 договором, контрактом,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угодою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законом,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нормативним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актом не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посилається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заявник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; початок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належні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посилається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на форс-мажор,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 компетентного органу (ТПП)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виникла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форс-мажорна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обставина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видає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документ (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сертифікат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), та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пред’явити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контрагенту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умов договору.</w:t>
      </w:r>
    </w:p>
    <w:p w:rsidR="00B02ECB" w:rsidRPr="00736B35" w:rsidRDefault="00B02ECB" w:rsidP="00B02EC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ТПП 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встановила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єдину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 адреса для 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запитів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 про форс-мажор:</w:t>
      </w:r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</w:rPr>
        <w:t>ucci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@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</w:rPr>
        <w:t>ucci</w:t>
      </w:r>
      <w:proofErr w:type="spellEnd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.</w:t>
      </w:r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</w:rPr>
        <w:t>org</w:t>
      </w:r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  <w:lang w:val="ru-RU"/>
        </w:rPr>
        <w:t>.</w:t>
      </w:r>
      <w:proofErr w:type="spellStart"/>
      <w:r w:rsidRPr="00736B35">
        <w:rPr>
          <w:rFonts w:ascii="Times New Roman" w:hAnsi="Times New Roman" w:cs="Times New Roman"/>
          <w:bCs/>
          <w:i/>
          <w:spacing w:val="15"/>
          <w:sz w:val="28"/>
          <w:szCs w:val="28"/>
          <w:shd w:val="clear" w:color="auto" w:fill="FFFFFF"/>
        </w:rPr>
        <w:t>ua</w:t>
      </w:r>
      <w:proofErr w:type="spellEnd"/>
    </w:p>
    <w:p w:rsidR="00736B35" w:rsidRPr="00736B35" w:rsidRDefault="00736B35" w:rsidP="00B02E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B35" w:rsidRPr="00736B35" w:rsidRDefault="00736B35" w:rsidP="00B02E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B35" w:rsidRPr="00736B35" w:rsidRDefault="00736B35" w:rsidP="00B02E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B35" w:rsidRPr="00736B35" w:rsidRDefault="00A03DD8" w:rsidP="00B02EC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lastRenderedPageBreak/>
        <w:t>Стосовно</w:t>
      </w:r>
      <w:proofErr w:type="spellEnd"/>
      <w:r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>неможливість</w:t>
      </w:r>
      <w:proofErr w:type="spellEnd"/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>сплати</w:t>
      </w:r>
      <w:proofErr w:type="spellEnd"/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 xml:space="preserve"> за договорами </w:t>
      </w:r>
      <w:proofErr w:type="spellStart"/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>під</w:t>
      </w:r>
      <w:proofErr w:type="spellEnd"/>
      <w:r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 xml:space="preserve"> час карантину</w:t>
      </w:r>
      <w:r w:rsidR="00736B35" w:rsidRPr="00736B35">
        <w:rPr>
          <w:rFonts w:ascii="Times New Roman" w:hAnsi="Times New Roman" w:cs="Times New Roman"/>
          <w:b/>
          <w:bCs/>
          <w:color w:val="231F20"/>
          <w:spacing w:val="15"/>
          <w:sz w:val="28"/>
          <w:szCs w:val="28"/>
          <w:shd w:val="clear" w:color="auto" w:fill="FFFFFF"/>
          <w:lang w:val="ru-RU"/>
        </w:rPr>
        <w:t>?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законодавчому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грошей не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форс-мажором, тому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м</w:t>
      </w:r>
      <w:bookmarkStart w:id="0" w:name="_GoBack"/>
      <w:bookmarkEnd w:id="0"/>
      <w:r w:rsidRPr="00A03DD8">
        <w:rPr>
          <w:rFonts w:ascii="Times New Roman" w:hAnsi="Times New Roman" w:cs="Times New Roman"/>
          <w:sz w:val="28"/>
          <w:szCs w:val="28"/>
          <w:lang w:val="ru-RU"/>
        </w:rPr>
        <w:t>ожна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до форс-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обмежень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ECB" w:rsidRPr="00736B35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736B35" w:rsidRPr="00736B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2ECB" w:rsidRDefault="00B02ECB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ТПП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6B3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36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приміщеннями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введеними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обмеженнями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заборонами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lang w:val="ru-RU"/>
        </w:rPr>
        <w:t xml:space="preserve"> сферах.</w:t>
      </w:r>
    </w:p>
    <w:p w:rsidR="00A03DD8" w:rsidRPr="00A03DD8" w:rsidRDefault="00A03DD8" w:rsidP="00B02E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DD8" w:rsidRPr="00A03DD8" w:rsidRDefault="00A03DD8" w:rsidP="00B02E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КМУ</w:t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даний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розробляє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доповнює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перелік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заборонених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 карантину,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тоді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раніше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планувалося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список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об'єктів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критичної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яким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дозволено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працювати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умовах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карантину.</w:t>
      </w:r>
    </w:p>
    <w:p w:rsidR="00736B35" w:rsidRPr="00A03DD8" w:rsidRDefault="00736B35" w:rsidP="00B02E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</w:t>
      </w:r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заборонені</w:t>
      </w:r>
      <w:proofErr w:type="spellEnd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</w:t>
      </w:r>
      <w:proofErr w:type="spellEnd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 карантину станом на </w:t>
      </w:r>
      <w:proofErr w:type="spellStart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сьогодні</w:t>
      </w:r>
      <w:proofErr w:type="spellEnd"/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театрів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кінотеатрів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музеїв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культури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розважальних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будь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масових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концертів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виступів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спортивних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змагань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тощо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спортивних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клубів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фітнес-центрів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харчування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окрім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винос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доставку);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ринків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продовольчих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господарських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будь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ТРЦ (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окрім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роздрібної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торгівлі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списком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дозволеного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</w:t>
      </w:r>
      <w:r w:rsidRPr="00A03D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7.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Роздрібна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торгівля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окрім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зазначеної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списку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дозволеного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03DD8"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3DD8" w:rsidRPr="00A03DD8" w:rsidRDefault="00A03DD8" w:rsidP="00B02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передбачається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обмеження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потраплять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салони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манікюрні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сауни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масажні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подібні</w:t>
      </w:r>
      <w:proofErr w:type="spellEnd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DD8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заклади</w:t>
      </w:r>
      <w:proofErr w:type="spellEnd"/>
    </w:p>
    <w:p w:rsidR="00957B28" w:rsidRPr="00A03DD8" w:rsidRDefault="00957B28" w:rsidP="00B02ECB">
      <w:pPr>
        <w:rPr>
          <w:rFonts w:ascii="Times New Roman" w:hAnsi="Times New Roman" w:cs="Times New Roman"/>
          <w:sz w:val="24"/>
          <w:szCs w:val="24"/>
        </w:rPr>
      </w:pPr>
    </w:p>
    <w:sectPr w:rsidR="00957B28" w:rsidRPr="00A03D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B4"/>
    <w:rsid w:val="00736B35"/>
    <w:rsid w:val="00957B28"/>
    <w:rsid w:val="00A03DD8"/>
    <w:rsid w:val="00B02ECB"/>
    <w:rsid w:val="00C27E4A"/>
    <w:rsid w:val="00D43386"/>
    <w:rsid w:val="00E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198D"/>
  <w15:chartTrackingRefBased/>
  <w15:docId w15:val="{CA9FCEE7-68E2-4817-AB6D-14D6839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IT-Integrator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Александр</dc:creator>
  <cp:keywords/>
  <dc:description/>
  <cp:lastModifiedBy>Гончаров Александр</cp:lastModifiedBy>
  <cp:revision>2</cp:revision>
  <dcterms:created xsi:type="dcterms:W3CDTF">2020-03-23T14:12:00Z</dcterms:created>
  <dcterms:modified xsi:type="dcterms:W3CDTF">2020-03-23T14:12:00Z</dcterms:modified>
</cp:coreProperties>
</file>